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9D" w:rsidRPr="00A44881" w:rsidRDefault="004D669D" w:rsidP="004D669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4D669D" w:rsidRPr="00A44881" w:rsidRDefault="004D669D" w:rsidP="004D669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4D669D" w:rsidRPr="00A44881" w:rsidRDefault="004D669D" w:rsidP="004D669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4D669D" w:rsidRPr="00A44881" w:rsidRDefault="004D669D" w:rsidP="004D669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</w:t>
      </w:r>
      <w:r w:rsidR="001E6C80">
        <w:rPr>
          <w:rFonts w:ascii="Times New Roman" w:hAnsi="Times New Roman" w:cs="Times New Roman"/>
          <w:b/>
          <w:sz w:val="28"/>
          <w:lang w:val="uk-UA"/>
        </w:rPr>
        <w:t>ЗАРУБІЖНОЇ ЛІТЕРАТУРИ ІМЕНІ ПРОФЕСОРА ОЛЕГА МІШУКОВА</w:t>
      </w:r>
    </w:p>
    <w:p w:rsidR="004D669D" w:rsidRDefault="004D669D" w:rsidP="004D669D">
      <w:pPr>
        <w:pStyle w:val="a4"/>
        <w:ind w:left="6663"/>
        <w:rPr>
          <w:sz w:val="24"/>
          <w:szCs w:val="24"/>
        </w:rPr>
      </w:pPr>
    </w:p>
    <w:p w:rsidR="004D669D" w:rsidRPr="00EF453B" w:rsidRDefault="004D669D" w:rsidP="004D669D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4D669D" w:rsidRDefault="004D669D" w:rsidP="004D669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4D669D" w:rsidRPr="00EF453B" w:rsidRDefault="004D669D" w:rsidP="004D669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та </w:t>
      </w:r>
      <w:r w:rsidR="001E6C80">
        <w:rPr>
          <w:sz w:val="24"/>
          <w:szCs w:val="24"/>
        </w:rPr>
        <w:t xml:space="preserve">зарубіжної літератури імені професора Олега </w:t>
      </w:r>
      <w:proofErr w:type="spellStart"/>
      <w:r w:rsidR="001E6C80">
        <w:rPr>
          <w:sz w:val="24"/>
          <w:szCs w:val="24"/>
        </w:rPr>
        <w:t>Мішукова</w:t>
      </w:r>
      <w:proofErr w:type="spellEnd"/>
    </w:p>
    <w:p w:rsidR="004D669D" w:rsidRPr="00EF453B" w:rsidRDefault="004D669D" w:rsidP="004D669D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853BDC">
        <w:rPr>
          <w:sz w:val="24"/>
          <w:szCs w:val="24"/>
          <w:lang w:val="ru-RU"/>
        </w:rPr>
        <w:t xml:space="preserve">1-а </w:t>
      </w:r>
      <w:r w:rsidRPr="00EF453B">
        <w:rPr>
          <w:sz w:val="24"/>
          <w:szCs w:val="24"/>
        </w:rPr>
        <w:t xml:space="preserve">від </w:t>
      </w:r>
      <w:r w:rsidR="00853BDC">
        <w:rPr>
          <w:sz w:val="24"/>
          <w:szCs w:val="24"/>
          <w:lang w:val="ru-RU"/>
        </w:rPr>
        <w:t>06.09.</w:t>
      </w:r>
      <w:r w:rsidRPr="00EF453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853BDC">
        <w:rPr>
          <w:sz w:val="24"/>
          <w:szCs w:val="24"/>
          <w:lang w:val="ru-RU"/>
        </w:rPr>
        <w:t>1</w:t>
      </w:r>
      <w:r w:rsidRPr="00EF453B">
        <w:rPr>
          <w:sz w:val="24"/>
          <w:szCs w:val="24"/>
        </w:rPr>
        <w:t xml:space="preserve"> р.</w:t>
      </w:r>
    </w:p>
    <w:p w:rsidR="004D669D" w:rsidRPr="00EF453B" w:rsidRDefault="001E6C80" w:rsidP="004D669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в.о. </w:t>
      </w:r>
      <w:r w:rsidR="004D669D">
        <w:rPr>
          <w:sz w:val="24"/>
          <w:szCs w:val="24"/>
        </w:rPr>
        <w:t>з</w:t>
      </w:r>
      <w:r w:rsidR="004D669D" w:rsidRPr="00EF453B">
        <w:rPr>
          <w:sz w:val="24"/>
          <w:szCs w:val="24"/>
        </w:rPr>
        <w:t>авідувач</w:t>
      </w:r>
      <w:r w:rsidR="0032507A">
        <w:rPr>
          <w:sz w:val="24"/>
          <w:szCs w:val="24"/>
        </w:rPr>
        <w:t>ки</w:t>
      </w:r>
      <w:r w:rsidR="004D669D" w:rsidRPr="00EF453B">
        <w:rPr>
          <w:sz w:val="24"/>
          <w:szCs w:val="24"/>
        </w:rPr>
        <w:t xml:space="preserve"> кафедри </w:t>
      </w:r>
    </w:p>
    <w:p w:rsidR="004D669D" w:rsidRPr="00EF453B" w:rsidRDefault="004D669D" w:rsidP="004D669D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DE590E" w:rsidRPr="00DE590E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</w:t>
      </w:r>
      <w:r w:rsidR="0032507A">
        <w:rPr>
          <w:sz w:val="24"/>
          <w:szCs w:val="24"/>
        </w:rPr>
        <w:t>Юлія КІЩЕНКО</w:t>
      </w:r>
      <w:r w:rsidRPr="00EF453B">
        <w:rPr>
          <w:sz w:val="24"/>
          <w:szCs w:val="24"/>
        </w:rPr>
        <w:t xml:space="preserve"> </w:t>
      </w:r>
    </w:p>
    <w:p w:rsidR="004D669D" w:rsidRDefault="004D669D" w:rsidP="004D669D">
      <w:pPr>
        <w:jc w:val="center"/>
        <w:rPr>
          <w:lang w:val="uk-UA"/>
        </w:rPr>
      </w:pPr>
    </w:p>
    <w:p w:rsidR="004D669D" w:rsidRPr="00A44881" w:rsidRDefault="004D669D" w:rsidP="004D66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4D669D" w:rsidRPr="005D4A4A" w:rsidRDefault="004D669D" w:rsidP="004D66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4D669D" w:rsidRPr="00A44881" w:rsidRDefault="004D669D" w:rsidP="004D66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669D" w:rsidRPr="00A44881" w:rsidRDefault="004D669D" w:rsidP="004D66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(Германські мови та літератури (переклад включно))</w:t>
      </w:r>
    </w:p>
    <w:p w:rsidR="004D669D" w:rsidRPr="009D20CD" w:rsidRDefault="004D669D" w:rsidP="004D66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4D669D" w:rsidRPr="00A44881" w:rsidRDefault="004D669D" w:rsidP="004D66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алізація 035.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41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Філологія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Германські мови та літератури (переклад включно), перша – англійська)</w:t>
      </w:r>
    </w:p>
    <w:p w:rsidR="004D669D" w:rsidRDefault="004D669D" w:rsidP="004D66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4D669D" w:rsidRDefault="004D669D" w:rsidP="004D66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669D" w:rsidRDefault="004D669D" w:rsidP="004D66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669D" w:rsidRDefault="004D669D" w:rsidP="004D66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Херсон 202</w:t>
      </w:r>
      <w:r w:rsidR="001E6C80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D669D" w:rsidRDefault="004D669D" w:rsidP="004D66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4D669D" w:rsidRPr="00767D2D" w:rsidTr="00C47423">
        <w:tc>
          <w:tcPr>
            <w:tcW w:w="3936" w:type="dxa"/>
          </w:tcPr>
          <w:p w:rsidR="004D669D" w:rsidRPr="00906F8D" w:rsidRDefault="004D669D" w:rsidP="00C474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4D669D" w:rsidTr="00C47423">
        <w:tc>
          <w:tcPr>
            <w:tcW w:w="3936" w:type="dxa"/>
          </w:tcPr>
          <w:p w:rsidR="004D669D" w:rsidRPr="00906F8D" w:rsidRDefault="004D669D" w:rsidP="00C474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4D669D" w:rsidRPr="00DE590E" w:rsidTr="00C47423">
        <w:tc>
          <w:tcPr>
            <w:tcW w:w="3936" w:type="dxa"/>
          </w:tcPr>
          <w:p w:rsidR="004D669D" w:rsidRPr="00906F8D" w:rsidRDefault="004D669D" w:rsidP="00C474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4D669D" w:rsidRPr="009E3A41" w:rsidRDefault="00261546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E590E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DE590E">
              <w:rPr>
                <w:lang w:val="uk-UA"/>
              </w:rPr>
              <w:instrText>://</w:instrText>
            </w:r>
            <w:r>
              <w:instrText>www</w:instrText>
            </w:r>
            <w:r w:rsidRPr="00DE590E">
              <w:rPr>
                <w:lang w:val="uk-UA"/>
              </w:rPr>
              <w:instrText>.</w:instrText>
            </w:r>
            <w:r>
              <w:instrText>kspu</w:instrText>
            </w:r>
            <w:r w:rsidRPr="00DE590E">
              <w:rPr>
                <w:lang w:val="uk-UA"/>
              </w:rPr>
              <w:instrText>.</w:instrText>
            </w:r>
            <w:r>
              <w:instrText>edu</w:instrText>
            </w:r>
            <w:r w:rsidRPr="00DE590E">
              <w:rPr>
                <w:lang w:val="uk-UA"/>
              </w:rPr>
              <w:instrText>/</w:instrText>
            </w:r>
            <w:r>
              <w:instrText>About</w:instrText>
            </w:r>
            <w:r w:rsidRPr="00DE590E">
              <w:rPr>
                <w:lang w:val="uk-UA"/>
              </w:rPr>
              <w:instrText>/</w:instrText>
            </w:r>
            <w:r>
              <w:instrText>Faculty</w:instrText>
            </w:r>
            <w:r w:rsidRPr="00DE590E">
              <w:rPr>
                <w:lang w:val="uk-UA"/>
              </w:rPr>
              <w:instrText>/</w:instrText>
            </w:r>
            <w:r>
              <w:instrText>IForeignPhilology</w:instrText>
            </w:r>
            <w:r w:rsidRPr="00DE590E">
              <w:rPr>
                <w:lang w:val="uk-UA"/>
              </w:rPr>
              <w:instrText>/</w:instrText>
            </w:r>
            <w:r>
              <w:instrText>ChairEnglTranslation</w:instrText>
            </w:r>
            <w:r w:rsidRPr="00DE590E">
              <w:rPr>
                <w:lang w:val="uk-UA"/>
              </w:rPr>
              <w:instrText>.</w:instrText>
            </w:r>
            <w:r>
              <w:instrText>aspx</w:instrText>
            </w:r>
            <w:r w:rsidRPr="00DE590E">
              <w:rPr>
                <w:lang w:val="uk-UA"/>
              </w:rPr>
              <w:instrText>"</w:instrText>
            </w:r>
            <w:r>
              <w:fldChar w:fldCharType="separate"/>
            </w:r>
            <w:r w:rsidR="004D669D">
              <w:rPr>
                <w:rStyle w:val="a9"/>
              </w:rPr>
              <w:t>http</w:t>
            </w:r>
            <w:r w:rsidR="004D669D" w:rsidRPr="009E3A41">
              <w:rPr>
                <w:rStyle w:val="a9"/>
                <w:lang w:val="uk-UA"/>
              </w:rPr>
              <w:t>://</w:t>
            </w:r>
            <w:r w:rsidR="004D669D">
              <w:rPr>
                <w:rStyle w:val="a9"/>
              </w:rPr>
              <w:t>www</w:t>
            </w:r>
            <w:r w:rsidR="004D669D" w:rsidRPr="009E3A41">
              <w:rPr>
                <w:rStyle w:val="a9"/>
                <w:lang w:val="uk-UA"/>
              </w:rPr>
              <w:t>.</w:t>
            </w:r>
            <w:r w:rsidR="004D669D">
              <w:rPr>
                <w:rStyle w:val="a9"/>
              </w:rPr>
              <w:t>kspu</w:t>
            </w:r>
            <w:r w:rsidR="004D669D" w:rsidRPr="009E3A41">
              <w:rPr>
                <w:rStyle w:val="a9"/>
                <w:lang w:val="uk-UA"/>
              </w:rPr>
              <w:t>.</w:t>
            </w:r>
            <w:r w:rsidR="004D669D">
              <w:rPr>
                <w:rStyle w:val="a9"/>
              </w:rPr>
              <w:t>edu</w:t>
            </w:r>
            <w:r w:rsidR="004D669D" w:rsidRPr="009E3A41">
              <w:rPr>
                <w:rStyle w:val="a9"/>
                <w:lang w:val="uk-UA"/>
              </w:rPr>
              <w:t>/</w:t>
            </w:r>
            <w:r w:rsidR="004D669D">
              <w:rPr>
                <w:rStyle w:val="a9"/>
              </w:rPr>
              <w:t>About</w:t>
            </w:r>
            <w:r w:rsidR="004D669D" w:rsidRPr="009E3A41">
              <w:rPr>
                <w:rStyle w:val="a9"/>
                <w:lang w:val="uk-UA"/>
              </w:rPr>
              <w:t>/</w:t>
            </w:r>
            <w:r w:rsidR="004D669D">
              <w:rPr>
                <w:rStyle w:val="a9"/>
              </w:rPr>
              <w:t>Faculty</w:t>
            </w:r>
            <w:r w:rsidR="004D669D" w:rsidRPr="009E3A41">
              <w:rPr>
                <w:rStyle w:val="a9"/>
                <w:lang w:val="uk-UA"/>
              </w:rPr>
              <w:t>/</w:t>
            </w:r>
            <w:r w:rsidR="004D669D">
              <w:rPr>
                <w:rStyle w:val="a9"/>
              </w:rPr>
              <w:t>IForeignPhilology</w:t>
            </w:r>
            <w:r w:rsidR="004D669D" w:rsidRPr="009E3A41">
              <w:rPr>
                <w:rStyle w:val="a9"/>
                <w:lang w:val="uk-UA"/>
              </w:rPr>
              <w:t>/</w:t>
            </w:r>
            <w:r w:rsidR="004D669D">
              <w:rPr>
                <w:rStyle w:val="a9"/>
              </w:rPr>
              <w:t>ChairEnglTranslation</w:t>
            </w:r>
            <w:r w:rsidR="004D669D" w:rsidRPr="009E3A41">
              <w:rPr>
                <w:rStyle w:val="a9"/>
                <w:lang w:val="uk-UA"/>
              </w:rPr>
              <w:t>.</w:t>
            </w:r>
            <w:proofErr w:type="spellStart"/>
            <w:r w:rsidR="004D669D">
              <w:rPr>
                <w:rStyle w:val="a9"/>
              </w:rPr>
              <w:t>aspx</w:t>
            </w:r>
            <w:proofErr w:type="spellEnd"/>
            <w:r>
              <w:fldChar w:fldCharType="end"/>
            </w:r>
            <w:r w:rsidR="004D669D" w:rsidRPr="009E3A41">
              <w:rPr>
                <w:lang w:val="uk-UA"/>
              </w:rPr>
              <w:t xml:space="preserve"> </w:t>
            </w:r>
          </w:p>
        </w:tc>
      </w:tr>
      <w:tr w:rsidR="004D669D" w:rsidTr="00C47423">
        <w:tc>
          <w:tcPr>
            <w:tcW w:w="3936" w:type="dxa"/>
          </w:tcPr>
          <w:p w:rsidR="004D669D" w:rsidRPr="00906F8D" w:rsidRDefault="004D669D" w:rsidP="00C474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4D669D" w:rsidTr="00C47423">
        <w:tc>
          <w:tcPr>
            <w:tcW w:w="393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4D669D" w:rsidRPr="007B13A4" w:rsidRDefault="00261546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4D669D" w:rsidRPr="008E4DB3">
                <w:rPr>
                  <w:rStyle w:val="a9"/>
                  <w:sz w:val="24"/>
                  <w:lang w:val="en-US"/>
                </w:rPr>
                <w:t>hanfedorov@ukr.net</w:t>
              </w:r>
            </w:hyperlink>
            <w:r w:rsidR="004D6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D669D" w:rsidTr="00C47423">
        <w:tc>
          <w:tcPr>
            <w:tcW w:w="3936" w:type="dxa"/>
          </w:tcPr>
          <w:p w:rsidR="004D669D" w:rsidRPr="00A44881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4D669D" w:rsidRPr="00642DFA" w:rsidRDefault="004D669D" w:rsidP="00C474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669D" w:rsidRPr="00D76E3D" w:rsidRDefault="004D669D" w:rsidP="004D669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D669D" w:rsidRPr="007A238A" w:rsidRDefault="004D669D" w:rsidP="004D669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4D669D" w:rsidRPr="00D76E3D" w:rsidRDefault="004D669D" w:rsidP="004D669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4D669D" w:rsidRPr="00757C05" w:rsidRDefault="004D669D" w:rsidP="004D669D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світового літературознавства.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4D669D" w:rsidRPr="00757C05" w:rsidRDefault="004D669D" w:rsidP="004D669D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4D669D" w:rsidRPr="00757C05" w:rsidRDefault="004D669D" w:rsidP="004D669D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lastRenderedPageBreak/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D669D" w:rsidRPr="00757C05" w:rsidRDefault="004D669D" w:rsidP="004D669D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дослідницькі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D669D" w:rsidRPr="00757C05" w:rsidRDefault="004D669D" w:rsidP="004D669D">
      <w:pPr>
        <w:rPr>
          <w:rFonts w:ascii="Times New Roman" w:hAnsi="Times New Roman" w:cs="Times New Roman"/>
          <w:b/>
        </w:rPr>
      </w:pPr>
    </w:p>
    <w:p w:rsidR="004D669D" w:rsidRPr="00D76E3D" w:rsidRDefault="004D669D" w:rsidP="004D669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4D669D" w:rsidRPr="009E3A41" w:rsidRDefault="004D669D" w:rsidP="004D669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4D669D" w:rsidRPr="009E3A41" w:rsidTr="00C47423">
        <w:tc>
          <w:tcPr>
            <w:tcW w:w="3510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4D669D" w:rsidRPr="009E3A41" w:rsidTr="00C47423">
        <w:tc>
          <w:tcPr>
            <w:tcW w:w="3510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4D669D" w:rsidRPr="002E0DDA" w:rsidRDefault="003E198D" w:rsidP="00C47423">
            <w:pPr>
              <w:pStyle w:val="a6"/>
              <w:ind w:left="0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4D669D" w:rsidRPr="001E6C80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895" w:type="dxa"/>
          </w:tcPr>
          <w:p w:rsidR="004D669D" w:rsidRPr="002E0DDA" w:rsidRDefault="003E198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4D669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4D669D" w:rsidRPr="009E3A41" w:rsidRDefault="004D669D" w:rsidP="004D669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D669D" w:rsidRPr="009E3A41" w:rsidRDefault="004D669D" w:rsidP="004D669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4D669D" w:rsidRPr="009E3A41" w:rsidTr="00C47423">
        <w:tc>
          <w:tcPr>
            <w:tcW w:w="1940" w:type="dxa"/>
          </w:tcPr>
          <w:p w:rsidR="004D669D" w:rsidRPr="009E3A41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4D669D" w:rsidRPr="009E3A41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4D669D" w:rsidRPr="009E3A41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4D669D" w:rsidRPr="009E3A41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4D669D" w:rsidRPr="00B909AB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4D669D" w:rsidRPr="00B909AB" w:rsidRDefault="004D669D" w:rsidP="00C47423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4D669D" w:rsidRPr="009E3A41" w:rsidTr="00C47423">
        <w:tc>
          <w:tcPr>
            <w:tcW w:w="1940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4D669D" w:rsidRPr="007B13A4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 w:rsidRPr="007B13A4">
              <w:rPr>
                <w:rFonts w:ascii="Times New Roman" w:hAnsi="Times New Roman" w:cs="Times New Roman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4D669D" w:rsidRPr="00183540" w:rsidRDefault="004D669D" w:rsidP="00C4742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183540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18354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4D669D" w:rsidRPr="005D04FE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 w:rsidRPr="0018354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41</w:t>
            </w:r>
            <w:r w:rsidRPr="0018354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Філологія (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Германські мови та літератури (переклад включно), перша – англійська)</w:t>
            </w:r>
          </w:p>
          <w:p w:rsidR="004D669D" w:rsidRPr="009E3A41" w:rsidRDefault="004D669D" w:rsidP="00C474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4D669D" w:rsidRPr="009E3A41" w:rsidRDefault="004D669D" w:rsidP="00C47423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4D669D" w:rsidRPr="00183540" w:rsidRDefault="004D669D" w:rsidP="004D669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D669D" w:rsidRPr="007E1200" w:rsidRDefault="004D669D" w:rsidP="004D669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4D669D" w:rsidRPr="00B114C0" w:rsidRDefault="004D669D" w:rsidP="004D66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4D669D" w:rsidRDefault="004D669D" w:rsidP="004D669D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lastRenderedPageBreak/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7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9" w:history="1">
        <w:r w:rsidRPr="00757C05">
          <w:rPr>
            <w:rStyle w:val="a9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0" w:history="1">
        <w:r w:rsidRPr="00757C05">
          <w:rPr>
            <w:rStyle w:val="a9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4D669D" w:rsidRDefault="004D669D" w:rsidP="004D669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D669D" w:rsidRDefault="004D669D" w:rsidP="004D669D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D669D" w:rsidRPr="009E3A41" w:rsidRDefault="004D669D" w:rsidP="004D669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4D669D" w:rsidTr="00C47423">
        <w:tc>
          <w:tcPr>
            <w:tcW w:w="3227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4D669D" w:rsidRPr="00180C60" w:rsidRDefault="004D669D" w:rsidP="00C474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D669D" w:rsidTr="00C47423">
        <w:tc>
          <w:tcPr>
            <w:tcW w:w="15081" w:type="dxa"/>
            <w:gridSpan w:val="6"/>
          </w:tcPr>
          <w:p w:rsidR="004D669D" w:rsidRPr="00B348FF" w:rsidRDefault="004D669D" w:rsidP="00C47423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4D669D" w:rsidRPr="00E93C3F" w:rsidTr="00C47423">
        <w:tc>
          <w:tcPr>
            <w:tcW w:w="3227" w:type="dxa"/>
            <w:vMerge w:val="restart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D669D" w:rsidRPr="003E5893" w:rsidRDefault="00261546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4D669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4D669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4D669D" w:rsidRPr="003E5893" w:rsidRDefault="003E198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F5259B" w:rsidRDefault="004D669D" w:rsidP="00C4742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D669D" w:rsidRPr="003E5893" w:rsidRDefault="00853BDC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4D669D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4638D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D669D" w:rsidRPr="00F153A1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033232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E93C3F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853BDC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D669D" w:rsidRPr="00E93C3F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853BDC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0A05A0" w:rsidTr="00C47423">
        <w:tc>
          <w:tcPr>
            <w:tcW w:w="3227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853BDC"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вправ,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перекладів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4D669D" w:rsidRPr="00F153A1" w:rsidTr="00C47423">
        <w:tc>
          <w:tcPr>
            <w:tcW w:w="3227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F5259B" w:rsidRDefault="004D669D" w:rsidP="00C4742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853BDC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 </w:t>
            </w:r>
            <w:r w:rsidRPr="00033232">
              <w:rPr>
                <w:rFonts w:ascii="Times New Roman" w:hAnsi="Times New Roman" w:cs="Times New Roman"/>
                <w:lang w:val="uk-UA"/>
              </w:rPr>
              <w:t>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 w:val="restart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D669D" w:rsidRPr="003E5893" w:rsidRDefault="00261546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4D669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4D669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3E5893" w:rsidRDefault="003E198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D669D" w:rsidRPr="003E5893" w:rsidRDefault="00853BDC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D669D" w:rsidRPr="00F317CA" w:rsidRDefault="004D669D" w:rsidP="00C4742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D0FAB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D669D" w:rsidRPr="00033232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416821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4D669D" w:rsidRPr="003E5893" w:rsidRDefault="004D669D" w:rsidP="00853BD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D669D" w:rsidRPr="00A26429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4D669D" w:rsidRPr="003E5893" w:rsidRDefault="00416821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(6</w:t>
            </w:r>
            <w:r w:rsidR="004D669D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D669D" w:rsidRPr="005C3C5E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 w:val="restart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C05655" w:rsidRDefault="004D669D" w:rsidP="00C47423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D669D" w:rsidRPr="003E5893" w:rsidRDefault="00416821" w:rsidP="004168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(3 </w:t>
            </w:r>
            <w:r w:rsidR="004D669D">
              <w:rPr>
                <w:rFonts w:ascii="Times New Roman" w:hAnsi="Times New Roman" w:cs="Times New Roman"/>
                <w:lang w:val="uk-UA"/>
              </w:rPr>
              <w:t>години аудиторної роботи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3E5893" w:rsidRDefault="004D669D" w:rsidP="004168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41682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D669D" w:rsidRPr="00A26429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C05655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D669D" w:rsidRPr="003E5893" w:rsidRDefault="004D669D" w:rsidP="004168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416821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455958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F153A1" w:rsidTr="00C47423">
        <w:tc>
          <w:tcPr>
            <w:tcW w:w="3227" w:type="dxa"/>
            <w:vMerge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D669D" w:rsidRPr="003E589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4D669D" w:rsidRPr="003E5893" w:rsidRDefault="004D669D" w:rsidP="0041682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41682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D669D" w:rsidRPr="00FF1F24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15081" w:type="dxa"/>
            <w:gridSpan w:val="6"/>
          </w:tcPr>
          <w:p w:rsidR="004D669D" w:rsidRPr="009334C0" w:rsidRDefault="004D669D" w:rsidP="00C47423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4D669D" w:rsidTr="00C47423">
        <w:tc>
          <w:tcPr>
            <w:tcW w:w="3227" w:type="dxa"/>
            <w:vMerge w:val="restart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D669D" w:rsidRPr="003E5893" w:rsidRDefault="00261546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4D669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4D669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3E198D">
              <w:rPr>
                <w:rFonts w:ascii="Times New Roman" w:hAnsi="Times New Roman" w:cs="Times New Roman"/>
                <w:lang w:val="uk-UA"/>
              </w:rPr>
              <w:t>5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4D669D" w:rsidRDefault="00416821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4D669D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Default="004D669D" w:rsidP="004D669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 xml:space="preserve">изначення основних прийомів смислового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аналізу;</w:t>
            </w:r>
          </w:p>
          <w:p w:rsidR="004D669D" w:rsidRDefault="004D669D" w:rsidP="004D669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4D669D" w:rsidRDefault="004D669D" w:rsidP="004D669D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4D669D" w:rsidRPr="00811839" w:rsidRDefault="004D669D" w:rsidP="00C47423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  <w:vMerge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Pr="009E69C3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4D669D" w:rsidRPr="009E69C3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D669D" w:rsidRPr="009E69C3" w:rsidRDefault="004D669D" w:rsidP="004168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16821">
              <w:rPr>
                <w:rFonts w:ascii="Times New Roman" w:hAnsi="Times New Roman" w:cs="Times New Roman"/>
                <w:lang w:val="uk-UA"/>
              </w:rPr>
              <w:t>6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9F2D4A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D669D" w:rsidRPr="009F2D4A" w:rsidRDefault="004D669D" w:rsidP="00C47423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  <w:vMerge w:val="restart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4D669D" w:rsidRPr="009E69C3" w:rsidRDefault="00CD0FAB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</w:t>
            </w:r>
            <w:r w:rsidR="004D669D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9F2D4A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9334C0" w:rsidTr="00C47423">
        <w:tc>
          <w:tcPr>
            <w:tcW w:w="3227" w:type="dxa"/>
            <w:vMerge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4D669D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9F2D4A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D669D" w:rsidRPr="003E5893" w:rsidRDefault="00261546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4D669D" w:rsidRPr="00070270">
                <w:rPr>
                  <w:rStyle w:val="a9"/>
                  <w:lang w:val="uk-UA"/>
                </w:rPr>
                <w:t>http://www.kspu.edu/forstudent/shedule.aspx</w:t>
              </w:r>
            </w:hyperlink>
            <w:r w:rsidR="004D669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9305B3" w:rsidRDefault="003E198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  <w:p w:rsidR="004D669D" w:rsidRPr="003E5893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D669D" w:rsidRDefault="00853BDC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4D669D" w:rsidRDefault="004D669D" w:rsidP="00CD0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9F2D4A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4D669D" w:rsidRDefault="004D669D" w:rsidP="00CD0F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D669D" w:rsidRPr="00DA39B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DC7E0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Pr="00DA39BA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D669D" w:rsidRPr="00DA39BA" w:rsidRDefault="004D669D" w:rsidP="00C47423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D669D" w:rsidRPr="009E69C3" w:rsidRDefault="004D669D" w:rsidP="00CD0F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 xml:space="preserve">Види, функції та особливості фіксації відособлень у перекладацькому </w:t>
            </w:r>
            <w:r w:rsidRPr="00F14583">
              <w:rPr>
                <w:rFonts w:ascii="Times New Roman" w:hAnsi="Times New Roman" w:cs="Times New Roman"/>
                <w:lang w:val="uk-UA"/>
              </w:rPr>
              <w:lastRenderedPageBreak/>
              <w:t>нотуванні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D669D" w:rsidRDefault="004D669D" w:rsidP="00CD0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D669D" w:rsidRPr="009E69C3" w:rsidRDefault="00CD0FAB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4D669D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Pr="00642DFA" w:rsidRDefault="004D669D" w:rsidP="00C47423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D669D" w:rsidRPr="00DA39BA" w:rsidRDefault="004D669D" w:rsidP="00CD0F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A22CFA" w:rsidRDefault="004D669D" w:rsidP="00C47423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CD0FAB">
              <w:rPr>
                <w:rFonts w:ascii="Times New Roman" w:hAnsi="Times New Roman" w:cs="Times New Roman"/>
                <w:lang w:val="uk-UA"/>
              </w:rPr>
              <w:t>6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D669D" w:rsidRPr="004B0D0D" w:rsidTr="00C47423">
        <w:tc>
          <w:tcPr>
            <w:tcW w:w="3227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D669D" w:rsidRDefault="004D669D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4D669D" w:rsidRPr="00227109" w:rsidRDefault="00CD0FAB" w:rsidP="00C474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</w:t>
            </w:r>
            <w:r w:rsidR="004D669D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4D669D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4D669D" w:rsidRPr="009E69C3" w:rsidRDefault="004D669D" w:rsidP="00C47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D669D" w:rsidRPr="00685E6A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D669D" w:rsidRPr="00F14583" w:rsidRDefault="004D669D" w:rsidP="00C47423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4D669D" w:rsidRDefault="004D669D" w:rsidP="00C474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4D669D" w:rsidRDefault="004D669D" w:rsidP="004D66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Pr="0098073B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0C4F65">
        <w:rPr>
          <w:rFonts w:ascii="Times New Roman" w:hAnsi="Times New Roman" w:cs="Times New Roman"/>
        </w:rPr>
        <w:t>екзамен</w:t>
      </w:r>
      <w:proofErr w:type="spellEnd"/>
      <w:r w:rsidRPr="00757C05">
        <w:rPr>
          <w:rFonts w:ascii="Times New Roman" w:hAnsi="Times New Roman" w:cs="Times New Roman"/>
          <w:lang w:val="uk-UA"/>
        </w:rPr>
        <w:t>:</w:t>
      </w:r>
      <w:r w:rsidRPr="0098073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100</w:t>
      </w: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усного та письмового перекладу: 50 балів</w:t>
      </w: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2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 50 балів</w:t>
      </w: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4D669D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4D669D" w:rsidRPr="00BB2B6D" w:rsidRDefault="004D669D" w:rsidP="004D669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4D669D" w:rsidRPr="00BB2B6D" w:rsidRDefault="004D669D" w:rsidP="004D669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другого модуля студент може отримати максимум </w:t>
      </w:r>
      <w:r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4D669D" w:rsidRPr="00BB2B6D" w:rsidRDefault="004D669D" w:rsidP="004D669D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</w:t>
      </w:r>
      <w:r w:rsidRPr="00BB2B6D">
        <w:rPr>
          <w:rFonts w:ascii="Times New Roman" w:hAnsi="Times New Roman" w:cs="Times New Roman"/>
          <w:lang w:val="uk-UA"/>
        </w:rPr>
        <w:t>0 балів.</w:t>
      </w:r>
    </w:p>
    <w:p w:rsidR="004D669D" w:rsidRPr="00B70420" w:rsidRDefault="004D669D" w:rsidP="004D669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lastRenderedPageBreak/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балів. </w:t>
      </w:r>
    </w:p>
    <w:p w:rsidR="004D669D" w:rsidRPr="00B70420" w:rsidRDefault="004D669D" w:rsidP="004D669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4D669D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D669D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4D669D" w:rsidRPr="00B909AB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>
        <w:rPr>
          <w:rFonts w:ascii="Times New Roman" w:hAnsi="Times New Roman" w:cs="Times New Roman"/>
          <w:lang w:val="uk-UA"/>
        </w:rPr>
        <w:t>залік</w:t>
      </w:r>
      <w:r w:rsidRPr="00B909AB">
        <w:rPr>
          <w:rFonts w:ascii="Times New Roman" w:hAnsi="Times New Roman" w:cs="Times New Roman"/>
          <w:lang w:val="uk-UA"/>
        </w:rPr>
        <w:t xml:space="preserve"> </w:t>
      </w:r>
    </w:p>
    <w:p w:rsidR="004D669D" w:rsidRPr="00131B65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>Критерії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оцінювання відповіді на заліку (Практичне завдання)</w:t>
      </w: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4D669D" w:rsidRPr="00D601C8" w:rsidTr="00C47423">
        <w:tc>
          <w:tcPr>
            <w:tcW w:w="1962" w:type="dxa"/>
          </w:tcPr>
          <w:p w:rsidR="004D669D" w:rsidRPr="00D601C8" w:rsidRDefault="004D669D" w:rsidP="00C47423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-  – 90  бали</w:t>
            </w:r>
          </w:p>
        </w:tc>
        <w:tc>
          <w:tcPr>
            <w:tcW w:w="7642" w:type="dxa"/>
          </w:tcPr>
          <w:p w:rsidR="004D669D" w:rsidRPr="00D601C8" w:rsidRDefault="004D669D" w:rsidP="00C47423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4D669D" w:rsidRPr="00B823B2" w:rsidTr="00C47423">
        <w:tc>
          <w:tcPr>
            <w:tcW w:w="1962" w:type="dxa"/>
          </w:tcPr>
          <w:p w:rsidR="004D669D" w:rsidRPr="00D601C8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89 – 82 бали</w:t>
            </w:r>
          </w:p>
        </w:tc>
        <w:tc>
          <w:tcPr>
            <w:tcW w:w="7642" w:type="dxa"/>
          </w:tcPr>
          <w:p w:rsidR="004D669D" w:rsidRPr="00642DFA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4D669D" w:rsidRPr="00EB224F" w:rsidTr="00C47423">
        <w:tc>
          <w:tcPr>
            <w:tcW w:w="196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81 – </w:t>
            </w:r>
            <w:r>
              <w:rPr>
                <w:sz w:val="22"/>
                <w:szCs w:val="22"/>
                <w:lang w:val="uk-UA"/>
              </w:rPr>
              <w:lastRenderedPageBreak/>
              <w:t>74 бали</w:t>
            </w:r>
          </w:p>
        </w:tc>
        <w:tc>
          <w:tcPr>
            <w:tcW w:w="7642" w:type="dxa"/>
          </w:tcPr>
          <w:p w:rsidR="004D669D" w:rsidRPr="00B70420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lastRenderedPageBreak/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lastRenderedPageBreak/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4D669D" w:rsidRPr="00B70420" w:rsidTr="00C47423">
        <w:tc>
          <w:tcPr>
            <w:tcW w:w="196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 балів</w:t>
            </w:r>
          </w:p>
        </w:tc>
        <w:tc>
          <w:tcPr>
            <w:tcW w:w="7642" w:type="dxa"/>
          </w:tcPr>
          <w:p w:rsidR="004D669D" w:rsidRPr="00D601C8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4D669D" w:rsidRPr="00B70420" w:rsidTr="00C47423">
        <w:tc>
          <w:tcPr>
            <w:tcW w:w="1962" w:type="dxa"/>
          </w:tcPr>
          <w:p w:rsidR="004D669D" w:rsidRPr="00B70420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 – 60 балів</w:t>
            </w:r>
          </w:p>
        </w:tc>
        <w:tc>
          <w:tcPr>
            <w:tcW w:w="7642" w:type="dxa"/>
          </w:tcPr>
          <w:p w:rsidR="004D669D" w:rsidRPr="00B70420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4D669D" w:rsidRPr="004A152C" w:rsidTr="00C47423">
        <w:tc>
          <w:tcPr>
            <w:tcW w:w="1962" w:type="dxa"/>
          </w:tcPr>
          <w:p w:rsidR="004D669D" w:rsidRPr="00B70420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 – 35 балів</w:t>
            </w:r>
          </w:p>
        </w:tc>
        <w:tc>
          <w:tcPr>
            <w:tcW w:w="764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4D669D" w:rsidRPr="004A152C" w:rsidTr="00C47423">
        <w:tc>
          <w:tcPr>
            <w:tcW w:w="196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35 балів</w:t>
            </w:r>
          </w:p>
        </w:tc>
        <w:tc>
          <w:tcPr>
            <w:tcW w:w="7642" w:type="dxa"/>
          </w:tcPr>
          <w:p w:rsidR="004D669D" w:rsidRPr="00EB224F" w:rsidRDefault="004D669D" w:rsidP="00C47423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4D669D" w:rsidRPr="00D601C8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D669D" w:rsidRPr="003721CF" w:rsidRDefault="004D669D" w:rsidP="004D66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4D669D" w:rsidRDefault="004D669D" w:rsidP="004D669D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4D669D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4D669D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4D669D" w:rsidRPr="00FC26ED" w:rsidRDefault="004D669D" w:rsidP="004D669D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4D669D" w:rsidRDefault="004D669D" w:rsidP="004D669D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4D669D" w:rsidRPr="0056174C" w:rsidRDefault="004D669D" w:rsidP="004D669D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4D669D" w:rsidRPr="00375028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4D669D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4D669D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4D669D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4D669D" w:rsidRDefault="004D669D" w:rsidP="004D669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4D669D" w:rsidRDefault="004D669D" w:rsidP="004D669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4D669D" w:rsidRDefault="004D669D" w:rsidP="004D669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4D669D" w:rsidRPr="00F234F6" w:rsidRDefault="004D669D" w:rsidP="004D669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4D669D" w:rsidRPr="00FF654C" w:rsidRDefault="004D669D" w:rsidP="004D669D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4D669D" w:rsidRDefault="004D669D" w:rsidP="004D669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5" w:history="1">
        <w:r w:rsidRPr="002249EC">
          <w:rPr>
            <w:rStyle w:val="a9"/>
            <w:lang w:val="en-US"/>
          </w:rPr>
          <w:t>http</w:t>
        </w:r>
        <w:r w:rsidRPr="002249EC">
          <w:rPr>
            <w:rStyle w:val="a9"/>
            <w:lang w:val="uk-UA"/>
          </w:rPr>
          <w:t>://</w:t>
        </w:r>
        <w:r w:rsidRPr="002249EC">
          <w:rPr>
            <w:rStyle w:val="a9"/>
            <w:lang w:val="en-US"/>
          </w:rPr>
          <w:t>learningenglish.voanews.com/</w:t>
        </w:r>
      </w:hyperlink>
    </w:p>
    <w:p w:rsidR="004D669D" w:rsidRPr="002249EC" w:rsidRDefault="004D669D" w:rsidP="004D669D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6" w:history="1">
        <w:r w:rsidRPr="002249EC">
          <w:rPr>
            <w:rStyle w:val="a9"/>
            <w:lang w:val="uk-UA"/>
          </w:rPr>
          <w:t>https://www.ted.com/</w:t>
        </w:r>
      </w:hyperlink>
    </w:p>
    <w:p w:rsidR="004D669D" w:rsidRPr="00024368" w:rsidRDefault="004D669D" w:rsidP="004D669D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4D669D" w:rsidRPr="00024368" w:rsidRDefault="004D669D" w:rsidP="004D66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D669D" w:rsidRPr="00767D2D" w:rsidRDefault="004D669D" w:rsidP="004D669D">
      <w:pPr>
        <w:rPr>
          <w:lang w:val="uk-UA"/>
        </w:rPr>
      </w:pPr>
    </w:p>
    <w:p w:rsidR="004D669D" w:rsidRPr="00B87D6D" w:rsidRDefault="004D669D" w:rsidP="004D669D">
      <w:pPr>
        <w:rPr>
          <w:lang w:val="uk-UA"/>
        </w:rPr>
      </w:pPr>
    </w:p>
    <w:p w:rsidR="00D807CC" w:rsidRPr="004D669D" w:rsidRDefault="00D807CC">
      <w:pPr>
        <w:rPr>
          <w:lang w:val="uk-UA"/>
        </w:rPr>
      </w:pPr>
    </w:p>
    <w:sectPr w:rsidR="00D807CC" w:rsidRPr="004D669D" w:rsidSect="00EA4B8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3D5"/>
    <w:rsid w:val="000C4F65"/>
    <w:rsid w:val="001C2CA5"/>
    <w:rsid w:val="001E6C80"/>
    <w:rsid w:val="00261546"/>
    <w:rsid w:val="0032507A"/>
    <w:rsid w:val="003E198D"/>
    <w:rsid w:val="00416821"/>
    <w:rsid w:val="004D669D"/>
    <w:rsid w:val="006C3F2E"/>
    <w:rsid w:val="00853BDC"/>
    <w:rsid w:val="009305B3"/>
    <w:rsid w:val="00B873D5"/>
    <w:rsid w:val="00CD0FAB"/>
    <w:rsid w:val="00D807CC"/>
    <w:rsid w:val="00DE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D66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4D669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4D669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4D669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4D669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4D66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4D669D"/>
    <w:rPr>
      <w:color w:val="0000FF"/>
      <w:u w:val="single"/>
    </w:rPr>
  </w:style>
  <w:style w:type="paragraph" w:styleId="2">
    <w:name w:val="Body Text Indent 2"/>
    <w:basedOn w:val="a"/>
    <w:link w:val="20"/>
    <w:rsid w:val="004D669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D66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4D669D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DE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5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fedorov@ukr.net" TargetMode="External"/><Relationship Id="rId11" Type="http://schemas.openxmlformats.org/officeDocument/2006/relationships/hyperlink" Target="HTTP://WWW.KSPU.EDU/FORSTUDENT/SHEDULE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earningenglish.voanews.com/" TargetMode="External"/><Relationship Id="rId10" Type="http://schemas.openxmlformats.org/officeDocument/2006/relationships/hyperlink" Target="http://www.kspu.edu/About/Faculty/INaturalScience/MFstud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Information/Academicintegrity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2021-09-22T17:56:00Z</dcterms:created>
  <dcterms:modified xsi:type="dcterms:W3CDTF">2024-05-11T08:53:00Z</dcterms:modified>
</cp:coreProperties>
</file>